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</w:t>
      </w:r>
      <w:bookmarkStart w:id="0" w:name="_GoBack"/>
      <w:bookmarkEnd w:id="0"/>
      <w:r w:rsidRPr="003D222D">
        <w:rPr>
          <w:sz w:val="52"/>
          <w:szCs w:val="52"/>
        </w:rPr>
        <w:t>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D88" w:rsidRPr="00E54D88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E54D88" w:rsidRPr="00BE15EF" w14:paraId="735B5E03" w14:textId="77777777" w:rsidTr="00E54D88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383ABF47" w14:textId="77777777" w:rsidR="00E54D88" w:rsidRPr="0035397C" w:rsidRDefault="00E54D88" w:rsidP="00E54D88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SMPU-LP-005/2023</w:t>
          </w:r>
        </w:p>
        <w:p w14:paraId="071543B1" w14:textId="40C8C6DB" w:rsidR="00E54D88" w:rsidRPr="00BE15EF" w:rsidRDefault="00E54D88" w:rsidP="00E54D88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Construcción de carretera estatal La Gloria – Colombia (km 25+000 al 30+000), en el municipio de Anáhuac,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E54D88" w:rsidRPr="00BE15EF" w:rsidRDefault="00E54D88" w:rsidP="00E54D8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E54D88" w:rsidRPr="00BE15EF" w:rsidRDefault="00E54D88" w:rsidP="00E54D8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E54D88" w:rsidRPr="00BE15EF" w:rsidRDefault="00E54D88" w:rsidP="00E54D8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E54D88" w:rsidRPr="00BE15EF" w:rsidRDefault="00E54D88" w:rsidP="00E54D8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E54D88" w:rsidRPr="00BE15EF" w:rsidRDefault="00E54D88" w:rsidP="00E54D88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B5004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D59D6-5AA0-457B-A82E-173B64D3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2023-03-17T21:34:00Z</dcterms:modified>
</cp:coreProperties>
</file>